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Verantwoordelijkheden en vaststelling van het AI-bewijsdossier</w:t>
      </w:r>
    </w:p>
    <w:p>
      <w:pPr>
        <w:pStyle w:val="Heading2"/>
      </w:pPr>
      <w:r>
        <w:t>Verantwoordelijkhedenblad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rPr>
                <w:b/>
              </w:rPr>
              <w:t>Onderdeel</w:t>
            </w:r>
          </w:p>
        </w:tc>
        <w:tc>
          <w:tcPr>
            <w:tcW w:type="dxa" w:w="2160"/>
          </w:tcPr>
          <w:p>
            <w:r>
              <w:rPr>
                <w:b/>
              </w:rPr>
              <w:t>Verantwoordelijk</w:t>
            </w:r>
          </w:p>
        </w:tc>
        <w:tc>
          <w:tcPr>
            <w:tcW w:type="dxa" w:w="2160"/>
          </w:tcPr>
          <w:p>
            <w:r>
              <w:rPr>
                <w:b/>
              </w:rPr>
              <w:t>Vervanger</w:t>
            </w:r>
          </w:p>
        </w:tc>
        <w:tc>
          <w:tcPr>
            <w:tcW w:type="dxa" w:w="2160"/>
          </w:tcPr>
          <w:p>
            <w:r>
              <w:rPr>
                <w:b/>
              </w:rPr>
              <w:t>Herzieningsritme</w:t>
            </w:r>
          </w:p>
        </w:tc>
      </w:tr>
      <w:tr>
        <w:tc>
          <w:tcPr>
            <w:tcW w:type="dxa" w:w="2160"/>
          </w:tcPr>
          <w:p>
            <w:r>
              <w:t>Register (T1, T2)</w:t>
            </w:r>
          </w:p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  <w:tc>
          <w:tcPr>
            <w:tcW w:type="dxa" w:w="2160"/>
          </w:tcPr>
          <w:p>
            <w:r>
              <w:t>halfjaarlijks</w:t>
            </w:r>
          </w:p>
        </w:tc>
      </w:tr>
      <w:tr>
        <w:tc>
          <w:tcPr>
            <w:tcW w:type="dxa" w:w="2160"/>
          </w:tcPr>
          <w:p>
            <w:r>
              <w:t>Rolbepaling (T3)</w:t>
            </w:r>
          </w:p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  <w:tc>
          <w:tcPr>
            <w:tcW w:type="dxa" w:w="2160"/>
          </w:tcPr>
          <w:p>
            <w:r>
              <w:t>bij systeemwijziging</w:t>
            </w:r>
          </w:p>
        </w:tc>
      </w:tr>
      <w:tr>
        <w:tc>
          <w:tcPr>
            <w:tcW w:type="dxa" w:w="2160"/>
          </w:tcPr>
          <w:p>
            <w:r>
              <w:t>Verbodencheck (T4)</w:t>
            </w:r>
          </w:p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  <w:tc>
          <w:tcPr>
            <w:tcW w:type="dxa" w:w="2160"/>
          </w:tcPr>
          <w:p>
            <w:r>
              <w:t>jaarlijks</w:t>
            </w:r>
          </w:p>
        </w:tc>
      </w:tr>
      <w:tr>
        <w:tc>
          <w:tcPr>
            <w:tcW w:type="dxa" w:w="2160"/>
          </w:tcPr>
          <w:p>
            <w:r>
              <w:t>Geletterdheid (T5 tot en met T8)</w:t>
            </w:r>
          </w:p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  <w:tc>
          <w:tcPr>
            <w:tcW w:type="dxa" w:w="2160"/>
          </w:tcPr>
          <w:p>
            <w:r>
              <w:t>doorlopend en jaarlijks</w:t>
            </w:r>
          </w:p>
        </w:tc>
      </w:tr>
      <w:tr>
        <w:tc>
          <w:tcPr>
            <w:tcW w:type="dxa" w:w="2160"/>
          </w:tcPr>
          <w:p>
            <w:r>
              <w:t>Transparantie (T9)</w:t>
            </w:r>
          </w:p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  <w:tc>
          <w:tcPr>
            <w:tcW w:type="dxa" w:w="2160"/>
          </w:tcPr>
          <w:p>
            <w:r>
              <w:t>bij kanaalwijziging</w:t>
            </w:r>
          </w:p>
        </w:tc>
      </w:tr>
      <w:tr>
        <w:tc>
          <w:tcPr>
            <w:tcW w:type="dxa" w:w="2160"/>
          </w:tcPr>
          <w:p>
            <w:r>
              <w:t>Inkoop en leveranciers (T10)</w:t>
            </w:r>
          </w:p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  <w:tc>
          <w:tcPr>
            <w:tcW w:type="dxa" w:w="2160"/>
          </w:tcPr>
          <w:p>
            <w:r>
              <w:t>bij elke inkoop</w:t>
            </w:r>
          </w:p>
        </w:tc>
      </w:tr>
      <w:tr>
        <w:tc>
          <w:tcPr>
            <w:tcW w:type="dxa" w:w="2160"/>
          </w:tcPr>
          <w:p>
            <w:r>
              <w:t>Incidenten (T11)</w:t>
            </w:r>
          </w:p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  <w:tc>
          <w:tcPr>
            <w:tcW w:type="dxa" w:w="2160"/>
          </w:tcPr>
          <w:p>
            <w:r>
              <w:t>doorlopend</w:t>
            </w:r>
          </w:p>
        </w:tc>
      </w:tr>
      <w:tr>
        <w:tc>
          <w:tcPr>
            <w:tcW w:type="dxa" w:w="2160"/>
          </w:tcPr>
          <w:p>
            <w:r>
              <w:t>Beheer en besluiten (T12)</w:t>
            </w:r>
          </w:p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  <w:tc>
          <w:tcPr>
            <w:tcW w:type="dxa" w:w="2160"/>
          </w:tcPr>
          <w:p>
            <w:r>
              <w:t>jaarlijks</w:t>
            </w:r>
          </w:p>
        </w:tc>
      </w:tr>
    </w:tbl>
    <w:p/>
    <w:p>
      <w:pPr>
        <w:pStyle w:val="Heading2"/>
      </w:pPr>
      <w:r>
        <w:t>Besluit tot vaststelling</w:t>
      </w:r>
    </w:p>
    <w:p>
      <w:r>
        <w:t>Ondergetekende stelt het AI-bewijsdossier van [organisatie] vast in de hieronder genoemde samenstelling, en belegt het beheer ervan bij de genoemde dossierhouder.</w:t>
      </w:r>
    </w:p>
    <w:p>
      <w:r>
        <w:rPr>
          <w:b/>
        </w:rPr>
        <w:t xml:space="preserve">Organisatie: </w:t>
      </w:r>
      <w:r>
        <w:t>________________________________________</w:t>
      </w:r>
    </w:p>
    <w:p>
      <w:r>
        <w:rPr>
          <w:b/>
        </w:rPr>
        <w:t xml:space="preserve">Dossierhouder: </w:t>
      </w:r>
      <w:r>
        <w:t>________________________________________</w:t>
      </w:r>
    </w:p>
    <w:p>
      <w:r>
        <w:rPr>
          <w:b/>
        </w:rPr>
        <w:t xml:space="preserve">Samenstelling van het dossier per datum: </w:t>
      </w:r>
      <w:r>
        <w:t>__________________________________________________</w:t>
      </w:r>
    </w:p>
    <w:p>
      <w:r>
        <w:rPr>
          <w:b/>
        </w:rPr>
        <w:t xml:space="preserve">Vastgesteld door: </w:t>
      </w:r>
      <w:r>
        <w:t>________________________________________</w:t>
      </w:r>
    </w:p>
    <w:p>
      <w:r>
        <w:rPr>
          <w:b/>
        </w:rPr>
        <w:t xml:space="preserve">Functie: </w:t>
      </w:r>
      <w:r>
        <w:t>________________________________________</w:t>
      </w:r>
    </w:p>
    <w:p>
      <w:r>
        <w:rPr>
          <w:b/>
        </w:rPr>
        <w:t xml:space="preserve">Datum: </w:t>
      </w:r>
      <w:r>
        <w:t>________________________</w:t>
      </w:r>
    </w:p>
    <w:p>
      <w:r>
        <w:rPr>
          <w:b/>
        </w:rPr>
        <w:t xml:space="preserve">Handtekening: </w:t>
      </w:r>
      <w:r>
        <w:t>________________________________________</w:t>
      </w:r>
    </w:p>
    <w:p/>
    <w:p>
      <w:r>
        <w:rPr>
          <w:i/>
          <w:sz w:val="18"/>
        </w:rPr>
        <w:t>Eén dossierhouder en één tekenende bestuurder is de methode van dit boek en geen wettelijke eis: de verordening schrijft geen functiescheiding of tekenbevoegdheid voor. De reden is praktisch. Gedeeld eigenaarschap van een dossier eindigt vrijwel altijd in geen eigenaarschap.</w:t>
      </w:r>
    </w:p>
    <w:p/>
    <w:p>
      <w:pPr>
        <w:jc w:val="left"/>
      </w:pPr>
      <w:r>
        <w:rPr>
          <w:i/>
          <w:color w:val="8A94A6"/>
          <w:sz w:val="16"/>
        </w:rPr>
        <w:t>T12 · AI-Act Bewijsdossier, templatepakket, editie 1.0, peildatum 10 augustus 2026. Werkdocument, geen juridisch advies.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egoe UI" w:hAnsi="Segoe U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Segoe UI" w:hAnsi="Segoe UI"/>
      <w:b/>
      <w:bCs/>
      <w:color w:val="0C1D4F"/>
      <w:sz w:val="3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Segoe UI" w:hAnsi="Segoe UI"/>
      <w:b/>
      <w:bCs/>
      <w:color w:val="0C1D4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